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95" w:rsidRPr="00363143" w:rsidRDefault="00AB06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Extras din LP nr. 71 din 1</w:t>
      </w:r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2.04.2015 cu </w:t>
      </w:r>
      <w:proofErr w:type="spellStart"/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>Codului</w:t>
      </w:r>
      <w:proofErr w:type="spellEnd"/>
      <w:r w:rsidR="00864083"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</w:t>
      </w: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iscal:</w:t>
      </w:r>
    </w:p>
    <w:p w:rsidR="00AB0695" w:rsidRDefault="00AB06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7EB4" w:rsidRPr="00AB0695" w:rsidRDefault="00AB0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a),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„27852”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ambele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„29640”.</w:t>
      </w:r>
    </w:p>
    <w:p w:rsidR="00AB0695" w:rsidRDefault="00AB0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33: 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„9516”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„10128”;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(2),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„14148”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„15060”.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14.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34: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„9516”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„10128”;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(2),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„14148”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„15060”.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15.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35: 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„2124”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„2256”,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„9516”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„10128”;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(2)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„9516”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„10128”;</w:t>
      </w:r>
      <w:r w:rsidRPr="00AB0695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la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(3),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Tutorele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curatorul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minorilor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vîrstă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de la 14 la 18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” se 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>  „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Curatorul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minorilor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vîrstă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de  la 14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la 18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tutorele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legal”,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.(2)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lit.d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)” se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înlocuieşte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 xml:space="preserve">.(2) </w:t>
      </w:r>
      <w:proofErr w:type="spellStart"/>
      <w:r w:rsidRPr="00AB0695">
        <w:rPr>
          <w:rFonts w:ascii="Times New Roman" w:hAnsi="Times New Roman" w:cs="Times New Roman"/>
          <w:sz w:val="28"/>
          <w:szCs w:val="28"/>
          <w:lang w:val="en-US"/>
        </w:rPr>
        <w:t>lit.b</w:t>
      </w:r>
      <w:proofErr w:type="spellEnd"/>
      <w:r w:rsidRPr="00AB0695">
        <w:rPr>
          <w:rFonts w:ascii="Times New Roman" w:hAnsi="Times New Roman" w:cs="Times New Roman"/>
          <w:sz w:val="28"/>
          <w:szCs w:val="28"/>
          <w:lang w:val="en-US"/>
        </w:rPr>
        <w:t>)”.</w:t>
      </w:r>
    </w:p>
    <w:p w:rsidR="005D542B" w:rsidRPr="00363143" w:rsidRDefault="0036314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Extra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 din LP nr. 108 din</w:t>
      </w: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28.05.2015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(MO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nr. </w:t>
      </w: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139-143 din 05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2015):</w:t>
      </w:r>
    </w:p>
    <w:p w:rsidR="005D542B" w:rsidRPr="00363143" w:rsidRDefault="005D54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42B">
        <w:rPr>
          <w:lang w:val="en-US"/>
        </w:rPr>
        <w:t xml:space="preserve">(1) </w:t>
      </w:r>
      <w:proofErr w:type="spellStart"/>
      <w:r w:rsidRPr="00363143">
        <w:rPr>
          <w:rFonts w:ascii="Times New Roman" w:hAnsi="Times New Roman" w:cs="Times New Roman"/>
          <w:lang w:val="en-US"/>
        </w:rPr>
        <w:t>Prezenta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lege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intră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în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vigoare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1 </w:t>
      </w:r>
      <w:proofErr w:type="spellStart"/>
      <w:r w:rsidRPr="00363143">
        <w:rPr>
          <w:rFonts w:ascii="Times New Roman" w:hAnsi="Times New Roman" w:cs="Times New Roman"/>
          <w:lang w:val="en-US"/>
        </w:rPr>
        <w:t>mai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2015, cu </w:t>
      </w:r>
      <w:proofErr w:type="spellStart"/>
      <w:r w:rsidRPr="00363143">
        <w:rPr>
          <w:rFonts w:ascii="Times New Roman" w:hAnsi="Times New Roman" w:cs="Times New Roman"/>
          <w:lang w:val="en-US"/>
        </w:rPr>
        <w:t>excepţia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XX, care </w:t>
      </w:r>
      <w:proofErr w:type="spellStart"/>
      <w:r w:rsidRPr="00363143">
        <w:rPr>
          <w:rFonts w:ascii="Times New Roman" w:hAnsi="Times New Roman" w:cs="Times New Roman"/>
          <w:lang w:val="en-US"/>
        </w:rPr>
        <w:t>intră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în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vigoare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data </w:t>
      </w:r>
      <w:proofErr w:type="spellStart"/>
      <w:r w:rsidRPr="00363143">
        <w:rPr>
          <w:rFonts w:ascii="Times New Roman" w:hAnsi="Times New Roman" w:cs="Times New Roman"/>
          <w:lang w:val="en-US"/>
        </w:rPr>
        <w:t>publicării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363143">
        <w:rPr>
          <w:rFonts w:ascii="Times New Roman" w:hAnsi="Times New Roman" w:cs="Times New Roman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IV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2,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5,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13,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14,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(1) </w:t>
      </w:r>
      <w:proofErr w:type="spellStart"/>
      <w:proofErr w:type="gram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proofErr w:type="gram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(2) </w:t>
      </w:r>
      <w:proofErr w:type="gram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lit</w:t>
      </w:r>
      <w:proofErr w:type="gram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b),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29,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30,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38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102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(8) pct. 10),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39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la art.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103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(1) pct. 18),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48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la art.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>117</w:t>
      </w:r>
      <w:r w:rsidRPr="003631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r w:rsidRPr="003631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r w:rsidRPr="0036314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60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164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(4)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>lit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62,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63, a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VIII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(6), </w:t>
      </w:r>
      <w:proofErr w:type="gram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XXIII, a </w:t>
      </w:r>
      <w:proofErr w:type="spellStart"/>
      <w:r w:rsidRPr="00363143">
        <w:rPr>
          <w:rFonts w:ascii="Times New Roman" w:hAnsi="Times New Roman" w:cs="Times New Roman"/>
          <w:sz w:val="28"/>
          <w:szCs w:val="28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sz w:val="28"/>
          <w:szCs w:val="28"/>
          <w:lang w:val="en-US"/>
        </w:rPr>
        <w:t xml:space="preserve"> XXIV</w:t>
      </w:r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care se pun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aplicare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1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ianuarie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</w:t>
      </w:r>
      <w:r w:rsidRPr="003631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63143">
        <w:rPr>
          <w:rFonts w:ascii="Times New Roman" w:hAnsi="Times New Roman" w:cs="Times New Roman"/>
          <w:lang w:val="en-US"/>
        </w:rPr>
        <w:t>şi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363143">
        <w:rPr>
          <w:rFonts w:ascii="Times New Roman" w:hAnsi="Times New Roman" w:cs="Times New Roman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363143">
        <w:rPr>
          <w:rFonts w:ascii="Times New Roman" w:hAnsi="Times New Roman" w:cs="Times New Roman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lang w:val="en-US"/>
        </w:rPr>
        <w:t xml:space="preserve">131 </w:t>
      </w:r>
      <w:proofErr w:type="spellStart"/>
      <w:r w:rsidRPr="00363143">
        <w:rPr>
          <w:rFonts w:ascii="Times New Roman" w:hAnsi="Times New Roman" w:cs="Times New Roman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(3) </w:t>
      </w:r>
      <w:proofErr w:type="gramStart"/>
      <w:r w:rsidRPr="00363143">
        <w:rPr>
          <w:rFonts w:ascii="Times New Roman" w:hAnsi="Times New Roman" w:cs="Times New Roman"/>
          <w:lang w:val="en-US"/>
        </w:rPr>
        <w:t>lit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. a) </w:t>
      </w:r>
      <w:proofErr w:type="spellStart"/>
      <w:proofErr w:type="gramStart"/>
      <w:r w:rsidRPr="00363143">
        <w:rPr>
          <w:rFonts w:ascii="Times New Roman" w:hAnsi="Times New Roman" w:cs="Times New Roman"/>
          <w:lang w:val="en-US"/>
        </w:rPr>
        <w:t>şi</w:t>
      </w:r>
      <w:proofErr w:type="spellEnd"/>
      <w:proofErr w:type="gramEnd"/>
      <w:r w:rsidRPr="00363143">
        <w:rPr>
          <w:rFonts w:ascii="Times New Roman" w:hAnsi="Times New Roman" w:cs="Times New Roman"/>
          <w:lang w:val="en-US"/>
        </w:rPr>
        <w:t xml:space="preserve"> c), a </w:t>
      </w:r>
      <w:proofErr w:type="spellStart"/>
      <w:r w:rsidRPr="00363143">
        <w:rPr>
          <w:rFonts w:ascii="Times New Roman" w:hAnsi="Times New Roman" w:cs="Times New Roman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III </w:t>
      </w:r>
      <w:proofErr w:type="spellStart"/>
      <w:r w:rsidRPr="00363143">
        <w:rPr>
          <w:rFonts w:ascii="Times New Roman" w:hAnsi="Times New Roman" w:cs="Times New Roman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lang w:val="en-US"/>
        </w:rPr>
        <w:t xml:space="preserve">89 </w:t>
      </w:r>
      <w:proofErr w:type="spellStart"/>
      <w:r w:rsidRPr="00363143">
        <w:rPr>
          <w:rFonts w:ascii="Times New Roman" w:hAnsi="Times New Roman" w:cs="Times New Roman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(1</w:t>
      </w:r>
      <w:r w:rsidRPr="00363143">
        <w:rPr>
          <w:rFonts w:ascii="Times New Roman" w:hAnsi="Times New Roman" w:cs="Times New Roman"/>
          <w:vertAlign w:val="superscript"/>
          <w:lang w:val="en-US"/>
        </w:rPr>
        <w:t>1</w:t>
      </w:r>
      <w:r w:rsidRPr="00363143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Pr="00363143">
        <w:rPr>
          <w:rFonts w:ascii="Times New Roman" w:hAnsi="Times New Roman" w:cs="Times New Roman"/>
          <w:lang w:val="en-US"/>
        </w:rPr>
        <w:t>lit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. a) </w:t>
      </w:r>
      <w:proofErr w:type="spellStart"/>
      <w:proofErr w:type="gramStart"/>
      <w:r w:rsidRPr="00363143">
        <w:rPr>
          <w:rFonts w:ascii="Times New Roman" w:hAnsi="Times New Roman" w:cs="Times New Roman"/>
          <w:lang w:val="en-US"/>
        </w:rPr>
        <w:t>şi</w:t>
      </w:r>
      <w:proofErr w:type="spellEnd"/>
      <w:proofErr w:type="gramEnd"/>
      <w:r w:rsidRPr="00363143">
        <w:rPr>
          <w:rFonts w:ascii="Times New Roman" w:hAnsi="Times New Roman" w:cs="Times New Roman"/>
          <w:lang w:val="en-US"/>
        </w:rPr>
        <w:t xml:space="preserve"> c), care se pun </w:t>
      </w:r>
      <w:proofErr w:type="spellStart"/>
      <w:r w:rsidRPr="00363143">
        <w:rPr>
          <w:rFonts w:ascii="Times New Roman" w:hAnsi="Times New Roman" w:cs="Times New Roman"/>
          <w:lang w:val="en-US"/>
        </w:rPr>
        <w:t>în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aplicare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1 </w:t>
      </w:r>
      <w:proofErr w:type="spellStart"/>
      <w:r w:rsidRPr="00363143">
        <w:rPr>
          <w:rFonts w:ascii="Times New Roman" w:hAnsi="Times New Roman" w:cs="Times New Roman"/>
          <w:lang w:val="en-US"/>
        </w:rPr>
        <w:t>ianuarie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2016, </w:t>
      </w:r>
      <w:proofErr w:type="spellStart"/>
      <w:r w:rsidRPr="00363143">
        <w:rPr>
          <w:rFonts w:ascii="Times New Roman" w:hAnsi="Times New Roman" w:cs="Times New Roman"/>
          <w:lang w:val="en-US"/>
        </w:rPr>
        <w:t>şi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363143">
        <w:rPr>
          <w:rFonts w:ascii="Times New Roman" w:hAnsi="Times New Roman" w:cs="Times New Roman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IV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363143">
        <w:rPr>
          <w:rFonts w:ascii="Times New Roman" w:hAnsi="Times New Roman" w:cs="Times New Roman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lang w:val="en-US"/>
        </w:rPr>
        <w:t xml:space="preserve">5 pct. 43),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3,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8 </w:t>
      </w:r>
      <w:proofErr w:type="spellStart"/>
      <w:r w:rsidRPr="00363143">
        <w:rPr>
          <w:rFonts w:ascii="Times New Roman" w:hAnsi="Times New Roman" w:cs="Times New Roman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art.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63143">
        <w:rPr>
          <w:rFonts w:ascii="Times New Roman" w:hAnsi="Times New Roman" w:cs="Times New Roman"/>
          <w:lang w:val="en-US"/>
        </w:rPr>
        <w:t xml:space="preserve">24 </w:t>
      </w:r>
      <w:proofErr w:type="spellStart"/>
      <w:r w:rsidRPr="00363143">
        <w:rPr>
          <w:rFonts w:ascii="Times New Roman" w:hAnsi="Times New Roman" w:cs="Times New Roman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(13),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59 </w:t>
      </w:r>
      <w:proofErr w:type="spellStart"/>
      <w:r w:rsidRPr="00363143">
        <w:rPr>
          <w:rFonts w:ascii="Times New Roman" w:hAnsi="Times New Roman" w:cs="Times New Roman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lang w:val="en-US"/>
        </w:rPr>
        <w:t xml:space="preserve">134 </w:t>
      </w:r>
      <w:proofErr w:type="spellStart"/>
      <w:r w:rsidRPr="00363143">
        <w:rPr>
          <w:rFonts w:ascii="Times New Roman" w:hAnsi="Times New Roman" w:cs="Times New Roman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(1)  </w:t>
      </w:r>
      <w:proofErr w:type="gramStart"/>
      <w:r w:rsidRPr="00363143">
        <w:rPr>
          <w:rFonts w:ascii="Times New Roman" w:hAnsi="Times New Roman" w:cs="Times New Roman"/>
          <w:lang w:val="en-US"/>
        </w:rPr>
        <w:t>lit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. e),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84 </w:t>
      </w:r>
      <w:proofErr w:type="spellStart"/>
      <w:r w:rsidRPr="00363143">
        <w:rPr>
          <w:rFonts w:ascii="Times New Roman" w:hAnsi="Times New Roman" w:cs="Times New Roman"/>
          <w:lang w:val="en-US"/>
        </w:rPr>
        <w:t>referitor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art. </w:t>
      </w:r>
      <w:proofErr w:type="gramStart"/>
      <w:r w:rsidRPr="00363143">
        <w:rPr>
          <w:rFonts w:ascii="Times New Roman" w:hAnsi="Times New Roman" w:cs="Times New Roman"/>
          <w:lang w:val="en-US"/>
        </w:rPr>
        <w:t xml:space="preserve">257 </w:t>
      </w:r>
      <w:proofErr w:type="spellStart"/>
      <w:r w:rsidRPr="00363143">
        <w:rPr>
          <w:rFonts w:ascii="Times New Roman" w:hAnsi="Times New Roman" w:cs="Times New Roman"/>
          <w:lang w:val="en-US"/>
        </w:rPr>
        <w:t>alin</w:t>
      </w:r>
      <w:proofErr w:type="spellEnd"/>
      <w:r w:rsidRPr="00363143">
        <w:rPr>
          <w:rFonts w:ascii="Times New Roman" w:hAnsi="Times New Roman" w:cs="Times New Roman"/>
          <w:lang w:val="en-US"/>
        </w:rPr>
        <w:t>.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(5</w:t>
      </w:r>
      <w:r w:rsidRPr="00363143">
        <w:rPr>
          <w:rFonts w:ascii="Times New Roman" w:hAnsi="Times New Roman" w:cs="Times New Roman"/>
          <w:vertAlign w:val="superscript"/>
          <w:lang w:val="en-US"/>
        </w:rPr>
        <w:t>1</w:t>
      </w:r>
      <w:r w:rsidRPr="00363143">
        <w:rPr>
          <w:rFonts w:ascii="Times New Roman" w:hAnsi="Times New Roman" w:cs="Times New Roman"/>
          <w:lang w:val="en-US"/>
        </w:rPr>
        <w:t xml:space="preserve">), </w:t>
      </w:r>
      <w:proofErr w:type="gramStart"/>
      <w:r w:rsidRPr="00363143">
        <w:rPr>
          <w:rFonts w:ascii="Times New Roman" w:hAnsi="Times New Roman" w:cs="Times New Roman"/>
          <w:lang w:val="en-US"/>
        </w:rPr>
        <w:t>a</w:t>
      </w:r>
      <w:proofErr w:type="gram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articolului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XXI </w:t>
      </w:r>
      <w:proofErr w:type="spellStart"/>
      <w:r w:rsidRPr="00363143">
        <w:rPr>
          <w:rFonts w:ascii="Times New Roman" w:hAnsi="Times New Roman" w:cs="Times New Roman"/>
          <w:lang w:val="en-US"/>
        </w:rPr>
        <w:t>punctul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6, care se pun </w:t>
      </w:r>
      <w:proofErr w:type="spellStart"/>
      <w:r w:rsidRPr="00363143">
        <w:rPr>
          <w:rFonts w:ascii="Times New Roman" w:hAnsi="Times New Roman" w:cs="Times New Roman"/>
          <w:lang w:val="en-US"/>
        </w:rPr>
        <w:t>în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lang w:val="en-US"/>
        </w:rPr>
        <w:t>aplicare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la 1 </w:t>
      </w:r>
      <w:proofErr w:type="spellStart"/>
      <w:r w:rsidRPr="00363143">
        <w:rPr>
          <w:rFonts w:ascii="Times New Roman" w:hAnsi="Times New Roman" w:cs="Times New Roman"/>
          <w:lang w:val="en-US"/>
        </w:rPr>
        <w:t>ianuarie</w:t>
      </w:r>
      <w:proofErr w:type="spellEnd"/>
      <w:r w:rsidRPr="00363143">
        <w:rPr>
          <w:rFonts w:ascii="Times New Roman" w:hAnsi="Times New Roman" w:cs="Times New Roman"/>
          <w:lang w:val="en-US"/>
        </w:rPr>
        <w:t xml:space="preserve"> 2017.”</w:t>
      </w:r>
      <w:r w:rsidRPr="00363143">
        <w:rPr>
          <w:rFonts w:ascii="Times New Roman" w:hAnsi="Times New Roman" w:cs="Times New Roman"/>
          <w:lang w:val="en-US"/>
        </w:rPr>
        <w:br/>
      </w:r>
      <w:r w:rsidRPr="00363143">
        <w:rPr>
          <w:rFonts w:ascii="Times New Roman" w:hAnsi="Times New Roman" w:cs="Times New Roman"/>
          <w:b/>
          <w:bCs/>
          <w:lang w:val="en-US"/>
        </w:rPr>
        <w:t>    Art. III.</w:t>
      </w:r>
      <w:r w:rsidRPr="003631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Patronii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efectua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recalculul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impozitului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venitul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persoanelor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fizice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la 1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ianuarie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pînă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data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intrării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vigoare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prezentei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legi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Organele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fiscale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aplica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sancţiuni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fiscale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se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efectuează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recalculul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impozitului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venitul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persoanelor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fizice</w:t>
      </w:r>
      <w:proofErr w:type="spellEnd"/>
      <w:r w:rsidRPr="003631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5D542B" w:rsidRPr="00363143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695"/>
    <w:rsid w:val="00363143"/>
    <w:rsid w:val="005647D4"/>
    <w:rsid w:val="005D542B"/>
    <w:rsid w:val="00864083"/>
    <w:rsid w:val="008C7EB4"/>
    <w:rsid w:val="00A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2015-06-08T10:46:00Z</dcterms:created>
  <dcterms:modified xsi:type="dcterms:W3CDTF">2015-06-08T11:12:00Z</dcterms:modified>
</cp:coreProperties>
</file>